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C7613">
        <w:rPr>
          <w:rFonts w:ascii="Arial" w:hAnsi="Arial" w:cs="Arial"/>
          <w:b/>
          <w:sz w:val="16"/>
          <w:szCs w:val="16"/>
        </w:rPr>
        <w:t>00</w:t>
      </w:r>
      <w:r w:rsidR="005B4C63">
        <w:rPr>
          <w:rFonts w:ascii="Arial" w:hAnsi="Arial" w:cs="Arial"/>
          <w:b/>
          <w:sz w:val="16"/>
          <w:szCs w:val="16"/>
        </w:rPr>
        <w:t>9</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5B4C63">
        <w:rPr>
          <w:rFonts w:ascii="Arial" w:hAnsi="Arial" w:cs="Arial"/>
          <w:b/>
          <w:bCs/>
          <w:sz w:val="16"/>
          <w:szCs w:val="16"/>
        </w:rPr>
        <w:t>599</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4E67D9" w:rsidRPr="00FF1F0B">
        <w:rPr>
          <w:rFonts w:ascii="Arial" w:hAnsi="Arial" w:cs="Arial"/>
          <w:b/>
          <w:bCs/>
          <w:sz w:val="16"/>
          <w:szCs w:val="16"/>
        </w:rPr>
        <w:t>01-1712.</w:t>
      </w:r>
      <w:proofErr w:type="gramEnd"/>
      <w:r w:rsidR="008C7613">
        <w:rPr>
          <w:rFonts w:ascii="Arial" w:hAnsi="Arial" w:cs="Arial"/>
          <w:b/>
          <w:bCs/>
          <w:sz w:val="16"/>
          <w:szCs w:val="16"/>
        </w:rPr>
        <w:t>0</w:t>
      </w:r>
      <w:r w:rsidR="005B4C63">
        <w:rPr>
          <w:rFonts w:ascii="Arial" w:hAnsi="Arial" w:cs="Arial"/>
          <w:b/>
          <w:bCs/>
          <w:sz w:val="16"/>
          <w:szCs w:val="16"/>
        </w:rPr>
        <w:t>6177</w:t>
      </w:r>
      <w:r w:rsidR="00A55EF5">
        <w:rPr>
          <w:rFonts w:ascii="Arial" w:hAnsi="Arial" w:cs="Arial"/>
          <w:b/>
          <w:bCs/>
          <w:sz w:val="16"/>
          <w:szCs w:val="16"/>
        </w:rPr>
        <w:t>-0</w:t>
      </w:r>
      <w:r w:rsidR="008C7613">
        <w:rPr>
          <w:rFonts w:ascii="Arial" w:hAnsi="Arial" w:cs="Arial"/>
          <w:b/>
          <w:bCs/>
          <w:sz w:val="16"/>
          <w:szCs w:val="16"/>
        </w:rPr>
        <w:t>0/2015</w:t>
      </w:r>
    </w:p>
    <w:p w:rsidR="009D2314" w:rsidRPr="00587C0E" w:rsidRDefault="009D2314" w:rsidP="00F73958">
      <w:pPr>
        <w:pStyle w:val="Cabealho"/>
        <w:jc w:val="both"/>
        <w:rPr>
          <w:rFonts w:ascii="Arial" w:hAnsi="Arial" w:cs="Arial"/>
          <w:b/>
          <w:sz w:val="16"/>
          <w:szCs w:val="16"/>
        </w:rPr>
      </w:pPr>
    </w:p>
    <w:p w:rsidR="009D2314" w:rsidRPr="005B4C63" w:rsidRDefault="002E300A" w:rsidP="005B4C63">
      <w:pPr>
        <w:spacing w:line="276" w:lineRule="auto"/>
        <w:ind w:right="-1"/>
        <w:jc w:val="both"/>
        <w:rPr>
          <w:color w:val="FF0000"/>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5B4C63">
        <w:rPr>
          <w:rFonts w:ascii="Arial" w:hAnsi="Arial" w:cs="Arial"/>
          <w:bCs/>
          <w:color w:val="000000" w:themeColor="text1"/>
          <w:sz w:val="16"/>
          <w:szCs w:val="16"/>
        </w:rPr>
        <w:t>PREÇ</w:t>
      </w:r>
      <w:r w:rsidR="00F17DD3" w:rsidRPr="005B4C63">
        <w:rPr>
          <w:rFonts w:ascii="Arial" w:hAnsi="Arial" w:cs="Arial"/>
          <w:bCs/>
          <w:color w:val="000000" w:themeColor="text1"/>
          <w:sz w:val="16"/>
          <w:szCs w:val="16"/>
        </w:rPr>
        <w:t xml:space="preserve">O </w:t>
      </w:r>
      <w:r w:rsidR="005B4C63" w:rsidRPr="005B4C63">
        <w:rPr>
          <w:rFonts w:ascii="Arial" w:hAnsi="Arial" w:cs="Arial"/>
          <w:color w:val="000000" w:themeColor="text1"/>
          <w:sz w:val="16"/>
          <w:szCs w:val="16"/>
        </w:rPr>
        <w:t xml:space="preserve">para </w:t>
      </w:r>
      <w:r w:rsidR="005B4C63" w:rsidRPr="005B4C63">
        <w:rPr>
          <w:rFonts w:ascii="Arial" w:hAnsi="Arial" w:cs="Arial"/>
          <w:color w:val="000000" w:themeColor="text1"/>
          <w:sz w:val="16"/>
          <w:szCs w:val="16"/>
          <w:lang w:val="es-BO"/>
        </w:rPr>
        <w:t xml:space="preserve">futura e eventual </w:t>
      </w:r>
      <w:proofErr w:type="spellStart"/>
      <w:r w:rsidR="005B4C63" w:rsidRPr="005B4C63">
        <w:rPr>
          <w:rFonts w:ascii="Arial" w:hAnsi="Arial" w:cs="Arial"/>
          <w:color w:val="000000" w:themeColor="text1"/>
          <w:sz w:val="16"/>
          <w:szCs w:val="16"/>
          <w:lang w:val="es-BO"/>
        </w:rPr>
        <w:t>aquisição</w:t>
      </w:r>
      <w:proofErr w:type="spellEnd"/>
      <w:r w:rsidR="005B4C63" w:rsidRPr="005B4C63">
        <w:rPr>
          <w:rFonts w:ascii="Arial" w:hAnsi="Arial" w:cs="Arial"/>
          <w:color w:val="000000" w:themeColor="text1"/>
          <w:sz w:val="16"/>
          <w:szCs w:val="16"/>
          <w:lang w:val="es-BO"/>
        </w:rPr>
        <w:t xml:space="preserve"> </w:t>
      </w:r>
      <w:r w:rsidR="005B4C63" w:rsidRPr="005B4C63">
        <w:rPr>
          <w:rFonts w:ascii="Arial" w:hAnsi="Arial" w:cs="Arial"/>
          <w:color w:val="000000" w:themeColor="text1"/>
          <w:sz w:val="16"/>
          <w:szCs w:val="16"/>
        </w:rPr>
        <w:t xml:space="preserve">de Artigos Médicos Hospitalares (manta térmica, fio cirúrgico, substituo </w:t>
      </w:r>
      <w:proofErr w:type="spellStart"/>
      <w:r w:rsidR="005B4C63" w:rsidRPr="005B4C63">
        <w:rPr>
          <w:rFonts w:ascii="Arial" w:hAnsi="Arial" w:cs="Arial"/>
          <w:color w:val="000000" w:themeColor="text1"/>
          <w:sz w:val="16"/>
          <w:szCs w:val="16"/>
        </w:rPr>
        <w:t>dural</w:t>
      </w:r>
      <w:proofErr w:type="spellEnd"/>
      <w:r w:rsidR="005B4C63" w:rsidRPr="005B4C63">
        <w:rPr>
          <w:rFonts w:ascii="Arial" w:hAnsi="Arial" w:cs="Arial"/>
          <w:color w:val="000000" w:themeColor="text1"/>
          <w:sz w:val="16"/>
          <w:szCs w:val="16"/>
        </w:rPr>
        <w:t xml:space="preserve">, dentre outros) </w:t>
      </w:r>
      <w:proofErr w:type="gramStart"/>
      <w:r w:rsidR="005B4C63" w:rsidRPr="005B4C63">
        <w:rPr>
          <w:rFonts w:ascii="Arial" w:hAnsi="Arial" w:cs="Arial"/>
          <w:color w:val="000000" w:themeColor="text1"/>
          <w:sz w:val="16"/>
          <w:szCs w:val="16"/>
        </w:rPr>
        <w:t>sob sistema</w:t>
      </w:r>
      <w:proofErr w:type="gramEnd"/>
      <w:r w:rsidR="005B4C63" w:rsidRPr="005B4C63">
        <w:rPr>
          <w:rFonts w:ascii="Arial" w:hAnsi="Arial" w:cs="Arial"/>
          <w:color w:val="000000" w:themeColor="text1"/>
          <w:sz w:val="16"/>
          <w:szCs w:val="16"/>
        </w:rPr>
        <w:t xml:space="preserve"> de comodato, visando atender as necessidades do Centro de Neurocirurgia do Hospital de Base Dr. Ary Pinheiro – HBAP, Hospital e Pronto Socorro João Paulo II – HPSJP-II e Hospital Regional de Cacoal – HRC</w:t>
      </w:r>
      <w:r w:rsidR="00B874BE" w:rsidRPr="005B4C63">
        <w:rPr>
          <w:rFonts w:ascii="Arial" w:hAnsi="Arial" w:cs="Arial"/>
          <w:bCs/>
          <w:color w:val="000000" w:themeColor="text1"/>
          <w:sz w:val="16"/>
          <w:szCs w:val="16"/>
        </w:rPr>
        <w:t>, a pedido da Secretaria de Estado da Saúde – SESAU/RO,</w:t>
      </w:r>
      <w:r w:rsidR="00DF042C" w:rsidRPr="005B4C63">
        <w:rPr>
          <w:rFonts w:ascii="Arial" w:hAnsi="Arial" w:cs="Arial"/>
          <w:color w:val="000000" w:themeColor="text1"/>
          <w:sz w:val="16"/>
          <w:szCs w:val="16"/>
        </w:rPr>
        <w:t xml:space="preserve"> por um período de 12 (doze) meses, </w:t>
      </w:r>
      <w:r w:rsidRPr="005B4C63">
        <w:rPr>
          <w:rFonts w:ascii="Arial" w:hAnsi="Arial" w:cs="Arial"/>
          <w:color w:val="000000" w:themeColor="text1"/>
          <w:sz w:val="16"/>
          <w:szCs w:val="16"/>
        </w:rPr>
        <w:t>conforme Anexo</w:t>
      </w:r>
      <w:r w:rsidRPr="00DF042C">
        <w:rPr>
          <w:rFonts w:ascii="Arial" w:hAnsi="Arial" w:cs="Arial"/>
          <w:sz w:val="16"/>
          <w:szCs w:val="16"/>
        </w:rPr>
        <w:t xml:space="preserve">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bCs/>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5B4C63" w:rsidRPr="005B4C63">
        <w:rPr>
          <w:rFonts w:ascii="Arial" w:hAnsi="Arial" w:cs="Arial"/>
          <w:color w:val="000000" w:themeColor="text1"/>
          <w:sz w:val="16"/>
          <w:szCs w:val="16"/>
        </w:rPr>
        <w:t xml:space="preserve">para </w:t>
      </w:r>
      <w:r w:rsidR="005B4C63" w:rsidRPr="005B4C63">
        <w:rPr>
          <w:rFonts w:ascii="Arial" w:hAnsi="Arial" w:cs="Arial"/>
          <w:color w:val="000000" w:themeColor="text1"/>
          <w:sz w:val="16"/>
          <w:szCs w:val="16"/>
          <w:lang w:val="es-BO"/>
        </w:rPr>
        <w:t xml:space="preserve">futura e eventual </w:t>
      </w:r>
      <w:proofErr w:type="spellStart"/>
      <w:r w:rsidR="005B4C63" w:rsidRPr="005B4C63">
        <w:rPr>
          <w:rFonts w:ascii="Arial" w:hAnsi="Arial" w:cs="Arial"/>
          <w:color w:val="000000" w:themeColor="text1"/>
          <w:sz w:val="16"/>
          <w:szCs w:val="16"/>
          <w:lang w:val="es-BO"/>
        </w:rPr>
        <w:t>aquisição</w:t>
      </w:r>
      <w:proofErr w:type="spellEnd"/>
      <w:r w:rsidR="005B4C63" w:rsidRPr="005B4C63">
        <w:rPr>
          <w:rFonts w:ascii="Arial" w:hAnsi="Arial" w:cs="Arial"/>
          <w:color w:val="000000" w:themeColor="text1"/>
          <w:sz w:val="16"/>
          <w:szCs w:val="16"/>
          <w:lang w:val="es-BO"/>
        </w:rPr>
        <w:t xml:space="preserve"> </w:t>
      </w:r>
      <w:r w:rsidR="005B4C63" w:rsidRPr="005B4C63">
        <w:rPr>
          <w:rFonts w:ascii="Arial" w:hAnsi="Arial" w:cs="Arial"/>
          <w:color w:val="000000" w:themeColor="text1"/>
          <w:sz w:val="16"/>
          <w:szCs w:val="16"/>
        </w:rPr>
        <w:t xml:space="preserve">de Artigos Médicos Hospitalares (manta térmica, fio cirúrgico, substituo </w:t>
      </w:r>
      <w:proofErr w:type="spellStart"/>
      <w:r w:rsidR="005B4C63" w:rsidRPr="005B4C63">
        <w:rPr>
          <w:rFonts w:ascii="Arial" w:hAnsi="Arial" w:cs="Arial"/>
          <w:color w:val="000000" w:themeColor="text1"/>
          <w:sz w:val="16"/>
          <w:szCs w:val="16"/>
        </w:rPr>
        <w:t>dural</w:t>
      </w:r>
      <w:proofErr w:type="spellEnd"/>
      <w:r w:rsidR="005B4C63" w:rsidRPr="005B4C63">
        <w:rPr>
          <w:rFonts w:ascii="Arial" w:hAnsi="Arial" w:cs="Arial"/>
          <w:color w:val="000000" w:themeColor="text1"/>
          <w:sz w:val="16"/>
          <w:szCs w:val="16"/>
        </w:rPr>
        <w:t xml:space="preserve">, dentre outros) </w:t>
      </w:r>
      <w:proofErr w:type="gramStart"/>
      <w:r w:rsidR="005B4C63" w:rsidRPr="005B4C63">
        <w:rPr>
          <w:rFonts w:ascii="Arial" w:hAnsi="Arial" w:cs="Arial"/>
          <w:color w:val="000000" w:themeColor="text1"/>
          <w:sz w:val="16"/>
          <w:szCs w:val="16"/>
        </w:rPr>
        <w:t>sob sistema</w:t>
      </w:r>
      <w:proofErr w:type="gramEnd"/>
      <w:r w:rsidR="005B4C63" w:rsidRPr="005B4C63">
        <w:rPr>
          <w:rFonts w:ascii="Arial" w:hAnsi="Arial" w:cs="Arial"/>
          <w:color w:val="000000" w:themeColor="text1"/>
          <w:sz w:val="16"/>
          <w:szCs w:val="16"/>
        </w:rPr>
        <w:t xml:space="preserve"> de comodato, visando atender as necessidades do Centro de Neurocirurgia do Hospital de Base Dr. Ary Pinheiro – HBAP, Hospital e Pronto Socorro João Paulo II – HPSJP-II e Hospital Regional de Cacoal – HRC</w:t>
      </w:r>
      <w:r w:rsidR="005B4C63" w:rsidRPr="005B4C63">
        <w:rPr>
          <w:rFonts w:ascii="Arial" w:hAnsi="Arial" w:cs="Arial"/>
          <w:bCs/>
          <w:color w:val="000000" w:themeColor="text1"/>
          <w:sz w:val="16"/>
          <w:szCs w:val="16"/>
        </w:rPr>
        <w:t>, a pedido da Secretaria de Estado da Saúde – SESAU/RO</w:t>
      </w:r>
      <w:r w:rsidR="005B4C63">
        <w:rPr>
          <w:rFonts w:ascii="Arial" w:hAnsi="Arial" w:cs="Arial"/>
          <w:bCs/>
          <w:color w:val="000000" w:themeColor="text1"/>
          <w:sz w:val="16"/>
          <w:szCs w:val="16"/>
        </w:rPr>
        <w:t>.</w:t>
      </w:r>
    </w:p>
    <w:p w:rsidR="005B4C63" w:rsidRDefault="005B4C6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B4C63" w:rsidRDefault="005B4C63" w:rsidP="005B4C63">
      <w:pPr>
        <w:pStyle w:val="Corpodetexto3"/>
        <w:tabs>
          <w:tab w:val="left" w:pos="900"/>
        </w:tabs>
        <w:ind w:left="360" w:right="47"/>
        <w:rPr>
          <w:rFonts w:ascii="Arial" w:hAnsi="Arial" w:cs="Arial"/>
          <w:sz w:val="16"/>
          <w:szCs w:val="16"/>
        </w:rPr>
      </w:pPr>
    </w:p>
    <w:p w:rsidR="005B4C63" w:rsidRPr="005B4C63" w:rsidRDefault="005B4C63" w:rsidP="005B4C63">
      <w:pPr>
        <w:pStyle w:val="Corpodetexto3"/>
        <w:numPr>
          <w:ilvl w:val="1"/>
          <w:numId w:val="2"/>
        </w:numPr>
        <w:tabs>
          <w:tab w:val="left" w:pos="900"/>
        </w:tabs>
        <w:ind w:right="47"/>
        <w:rPr>
          <w:rFonts w:ascii="Arial" w:hAnsi="Arial" w:cs="Arial"/>
          <w:color w:val="000000" w:themeColor="text1"/>
          <w:sz w:val="16"/>
          <w:szCs w:val="16"/>
        </w:rPr>
      </w:pPr>
      <w:r w:rsidRPr="005B4C63">
        <w:rPr>
          <w:rFonts w:ascii="Arial" w:hAnsi="Arial" w:cs="Arial"/>
          <w:b/>
          <w:color w:val="000000" w:themeColor="text1"/>
          <w:sz w:val="16"/>
          <w:szCs w:val="16"/>
        </w:rPr>
        <w:t>DO LOCAL DE ENTREGA</w:t>
      </w:r>
      <w:r w:rsidRPr="005B4C63">
        <w:rPr>
          <w:rFonts w:ascii="Arial" w:hAnsi="Arial" w:cs="Arial"/>
          <w:color w:val="000000" w:themeColor="text1"/>
          <w:sz w:val="16"/>
          <w:szCs w:val="16"/>
        </w:rPr>
        <w:t xml:space="preserve">: Os materiais, objeto da presente Licitação, </w:t>
      </w:r>
      <w:r w:rsidRPr="005B4C63">
        <w:rPr>
          <w:rFonts w:ascii="Arial" w:hAnsi="Arial" w:cs="Arial"/>
          <w:bCs/>
          <w:color w:val="000000" w:themeColor="text1"/>
          <w:sz w:val="16"/>
          <w:szCs w:val="16"/>
        </w:rPr>
        <w:t>deverão ser entregues</w:t>
      </w:r>
      <w:r w:rsidRPr="005B4C63">
        <w:rPr>
          <w:rFonts w:ascii="Arial" w:hAnsi="Arial" w:cs="Arial"/>
          <w:b/>
          <w:bCs/>
          <w:color w:val="000000" w:themeColor="text1"/>
          <w:sz w:val="16"/>
          <w:szCs w:val="16"/>
        </w:rPr>
        <w:t xml:space="preserve"> </w:t>
      </w:r>
      <w:r w:rsidRPr="005B4C63">
        <w:rPr>
          <w:rFonts w:ascii="Arial" w:hAnsi="Arial" w:cs="Arial"/>
          <w:color w:val="000000" w:themeColor="text1"/>
          <w:sz w:val="16"/>
          <w:szCs w:val="16"/>
        </w:rPr>
        <w:t xml:space="preserve">com frete CIF, no (s) seguinte (s) local (is): </w:t>
      </w:r>
      <w:r w:rsidRPr="005B4C63">
        <w:rPr>
          <w:rFonts w:ascii="Arial" w:hAnsi="Arial" w:cs="Arial"/>
          <w:bCs/>
          <w:color w:val="000000" w:themeColor="text1"/>
          <w:sz w:val="16"/>
          <w:szCs w:val="16"/>
        </w:rPr>
        <w:t xml:space="preserve">na Central de Abastecimento Farmacêutico – CAF II, Rua Aparício de Moraes, 4373, Setor Industrial – Porto Velho/RO, de Segunda a Sexta-Feira das 7h30min às 17h30min. </w:t>
      </w:r>
    </w:p>
    <w:p w:rsidR="005B4C63" w:rsidRPr="005B4C63" w:rsidRDefault="005B4C63" w:rsidP="005B4C63">
      <w:pPr>
        <w:pStyle w:val="PargrafodaLista"/>
        <w:rPr>
          <w:rFonts w:ascii="Arial" w:hAnsi="Arial" w:cs="Arial"/>
          <w:color w:val="000000" w:themeColor="text1"/>
          <w:sz w:val="16"/>
          <w:szCs w:val="16"/>
        </w:rPr>
      </w:pPr>
    </w:p>
    <w:p w:rsidR="009F2CD8" w:rsidRPr="005B4C63" w:rsidRDefault="005B4C63" w:rsidP="009F2CD8">
      <w:pPr>
        <w:pStyle w:val="Corpodetexto3"/>
        <w:numPr>
          <w:ilvl w:val="1"/>
          <w:numId w:val="2"/>
        </w:numPr>
        <w:tabs>
          <w:tab w:val="left" w:pos="900"/>
        </w:tabs>
        <w:ind w:right="47"/>
        <w:rPr>
          <w:rFonts w:ascii="Arial" w:hAnsi="Arial" w:cs="Arial"/>
          <w:b/>
          <w:color w:val="000000" w:themeColor="text1"/>
          <w:sz w:val="16"/>
          <w:szCs w:val="16"/>
        </w:rPr>
      </w:pPr>
      <w:r w:rsidRPr="005B4C63">
        <w:rPr>
          <w:rFonts w:ascii="Arial" w:hAnsi="Arial" w:cs="Arial"/>
          <w:b/>
          <w:color w:val="000000" w:themeColor="text1"/>
          <w:sz w:val="16"/>
          <w:szCs w:val="16"/>
        </w:rPr>
        <w:t xml:space="preserve">DO PRAZO DE ENTREGA: </w:t>
      </w:r>
      <w:r w:rsidRPr="005B4C63">
        <w:rPr>
          <w:rFonts w:ascii="Arial" w:hAnsi="Arial" w:cs="Arial"/>
          <w:color w:val="000000" w:themeColor="text1"/>
          <w:sz w:val="16"/>
          <w:szCs w:val="16"/>
        </w:rPr>
        <w:t xml:space="preserve">O prazo de início da entrega deve ser no máximo de </w:t>
      </w:r>
      <w:r w:rsidRPr="005B4C63">
        <w:rPr>
          <w:rFonts w:ascii="Arial" w:hAnsi="Arial" w:cs="Arial"/>
          <w:b/>
          <w:color w:val="000000" w:themeColor="text1"/>
          <w:sz w:val="16"/>
          <w:szCs w:val="16"/>
        </w:rPr>
        <w:t>30 (trinta) dias</w:t>
      </w:r>
      <w:r w:rsidRPr="005B4C63">
        <w:rPr>
          <w:rFonts w:ascii="Arial" w:hAnsi="Arial" w:cs="Arial"/>
          <w:color w:val="000000" w:themeColor="text1"/>
          <w:sz w:val="16"/>
          <w:szCs w:val="16"/>
        </w:rPr>
        <w:t>, contados após o recebimento da Nota de Empenho, conforme solicitação via requisição da Secretaria de Saúde.</w:t>
      </w:r>
    </w:p>
    <w:p w:rsidR="005B4C63" w:rsidRPr="005B4C63" w:rsidRDefault="005B4C63" w:rsidP="005B4C63">
      <w:pPr>
        <w:pStyle w:val="PargrafodaLista"/>
        <w:rPr>
          <w:rFonts w:ascii="Arial" w:hAnsi="Arial" w:cs="Arial"/>
          <w:b/>
          <w:color w:val="000000" w:themeColor="text1"/>
          <w:sz w:val="16"/>
          <w:szCs w:val="16"/>
        </w:rPr>
      </w:pPr>
    </w:p>
    <w:p w:rsidR="005B4C63" w:rsidRDefault="005B4C63" w:rsidP="005B4C63">
      <w:pPr>
        <w:pStyle w:val="Corpodetexto3"/>
        <w:tabs>
          <w:tab w:val="left" w:pos="900"/>
        </w:tabs>
        <w:ind w:left="360" w:right="47"/>
        <w:rPr>
          <w:rFonts w:ascii="Arial" w:hAnsi="Arial" w:cs="Arial"/>
          <w:b/>
          <w:sz w:val="16"/>
          <w:szCs w:val="16"/>
        </w:rPr>
      </w:pPr>
    </w:p>
    <w:p w:rsidR="005B4C63" w:rsidRDefault="005B4C63" w:rsidP="005B4C63">
      <w:pPr>
        <w:pStyle w:val="Corpodetexto3"/>
        <w:tabs>
          <w:tab w:val="left" w:pos="900"/>
        </w:tabs>
        <w:ind w:left="360" w:right="47"/>
        <w:rPr>
          <w:rFonts w:ascii="Arial" w:hAnsi="Arial" w:cs="Arial"/>
          <w:b/>
          <w:sz w:val="16"/>
          <w:szCs w:val="16"/>
        </w:rPr>
      </w:pPr>
    </w:p>
    <w:p w:rsidR="005B4C63" w:rsidRPr="005B4C63" w:rsidRDefault="005B4C63" w:rsidP="005B4C63">
      <w:pPr>
        <w:pStyle w:val="Corpodetexto3"/>
        <w:tabs>
          <w:tab w:val="left" w:pos="900"/>
        </w:tabs>
        <w:ind w:left="360" w:right="47"/>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NormalWeb"/>
        <w:spacing w:before="0" w:beforeAutospacing="0" w:after="0" w:afterAutospacing="0"/>
        <w:jc w:val="both"/>
        <w:rPr>
          <w:rFonts w:ascii="Arial" w:hAnsi="Arial" w:cs="Arial"/>
          <w:sz w:val="16"/>
          <w:szCs w:val="16"/>
        </w:rPr>
      </w:pPr>
    </w:p>
    <w:p w:rsidR="005B4C63" w:rsidRPr="005B4C63" w:rsidRDefault="009D2314" w:rsidP="005B4C63">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8E4E8A" w:rsidRPr="00AD6140" w:rsidRDefault="008E4E8A" w:rsidP="00AD6140">
      <w:pPr>
        <w:pStyle w:val="Lista2"/>
        <w:ind w:left="0" w:firstLine="0"/>
        <w:rPr>
          <w:b/>
          <w:bCs/>
          <w:sz w:val="16"/>
          <w:szCs w:val="16"/>
        </w:rPr>
      </w:pPr>
      <w:r w:rsidRPr="008E4E8A">
        <w:rPr>
          <w:b/>
          <w:bCs/>
          <w:sz w:val="16"/>
          <w:szCs w:val="16"/>
        </w:rPr>
        <w:t xml:space="preserve"> </w:t>
      </w:r>
    </w:p>
    <w:p w:rsidR="008E4E8A" w:rsidRDefault="008E4E8A" w:rsidP="008E4E8A">
      <w:pPr>
        <w:pStyle w:val="Lista2"/>
        <w:jc w:val="both"/>
        <w:rPr>
          <w:bCs/>
          <w:i/>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5B4C63" w:rsidRPr="008E4E8A" w:rsidRDefault="005B4C63" w:rsidP="008E4E8A">
      <w:pPr>
        <w:pStyle w:val="Lista2"/>
        <w:jc w:val="both"/>
        <w:rPr>
          <w:bCs/>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5B4C63">
      <w:pPr>
        <w:pStyle w:val="Lista2"/>
        <w:ind w:left="0" w:firstLine="0"/>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5B4C63">
      <w:pPr>
        <w:pStyle w:val="Lista2"/>
        <w:ind w:hanging="11"/>
        <w:rPr>
          <w:bCs/>
          <w:sz w:val="16"/>
          <w:szCs w:val="16"/>
        </w:rPr>
      </w:pPr>
    </w:p>
    <w:p w:rsidR="008E4E8A" w:rsidRPr="008E4E8A" w:rsidRDefault="00AD3BD6" w:rsidP="005B4C63">
      <w:pPr>
        <w:pStyle w:val="Lista2"/>
        <w:ind w:left="0" w:firstLine="0"/>
        <w:rPr>
          <w:bCs/>
          <w:vanish/>
          <w:sz w:val="16"/>
          <w:szCs w:val="16"/>
        </w:rPr>
      </w:pPr>
      <w:r>
        <w:rPr>
          <w:bCs/>
          <w:sz w:val="16"/>
          <w:szCs w:val="16"/>
        </w:rPr>
        <w:t>9</w:t>
      </w:r>
      <w:r w:rsidR="008E4E8A" w:rsidRPr="008E4E8A">
        <w:rPr>
          <w:bCs/>
          <w:sz w:val="16"/>
          <w:szCs w:val="16"/>
        </w:rPr>
        <w:t xml:space="preserve">.6 </w:t>
      </w:r>
    </w:p>
    <w:p w:rsidR="008E4E8A" w:rsidRPr="008E4E8A" w:rsidRDefault="008E4E8A" w:rsidP="005B4C63">
      <w:pPr>
        <w:pStyle w:val="Lista2"/>
        <w:numPr>
          <w:ilvl w:val="1"/>
          <w:numId w:val="15"/>
        </w:numPr>
        <w:ind w:hanging="11"/>
        <w:rPr>
          <w:bCs/>
          <w:vanish/>
          <w:sz w:val="16"/>
          <w:szCs w:val="16"/>
        </w:rPr>
      </w:pPr>
    </w:p>
    <w:p w:rsidR="008E4E8A" w:rsidRPr="008E4E8A" w:rsidRDefault="008E4E8A" w:rsidP="005B4C63">
      <w:pPr>
        <w:pStyle w:val="Lista2"/>
        <w:ind w:left="0" w:hanging="11"/>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5B4C63">
      <w:pPr>
        <w:pStyle w:val="Lista2"/>
        <w:ind w:left="0"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5B4C63">
      <w:pPr>
        <w:pStyle w:val="Lista2"/>
        <w:ind w:left="0" w:hanging="11"/>
        <w:rPr>
          <w:bCs/>
          <w:sz w:val="16"/>
          <w:szCs w:val="16"/>
        </w:rPr>
      </w:pP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5B4C63">
      <w:pPr>
        <w:pStyle w:val="Lista2"/>
        <w:ind w:hanging="11"/>
        <w:rPr>
          <w:bCs/>
          <w:sz w:val="16"/>
          <w:szCs w:val="16"/>
        </w:rPr>
      </w:pPr>
    </w:p>
    <w:p w:rsidR="008E4E8A" w:rsidRPr="008E4E8A" w:rsidRDefault="008E4E8A" w:rsidP="005B4C63">
      <w:pPr>
        <w:pStyle w:val="Lista2"/>
        <w:numPr>
          <w:ilvl w:val="0"/>
          <w:numId w:val="12"/>
        </w:numPr>
        <w:ind w:hanging="11"/>
        <w:rPr>
          <w:bCs/>
          <w:sz w:val="16"/>
          <w:szCs w:val="16"/>
        </w:rPr>
      </w:pPr>
      <w:r w:rsidRPr="008E4E8A">
        <w:rPr>
          <w:bCs/>
          <w:sz w:val="16"/>
          <w:szCs w:val="16"/>
        </w:rPr>
        <w:t>Inexecução total ou parcial do contrato;</w:t>
      </w:r>
    </w:p>
    <w:p w:rsidR="008E4E8A" w:rsidRPr="008E4E8A" w:rsidRDefault="008E4E8A" w:rsidP="005B4C63">
      <w:pPr>
        <w:pStyle w:val="Lista2"/>
        <w:numPr>
          <w:ilvl w:val="0"/>
          <w:numId w:val="12"/>
        </w:numPr>
        <w:ind w:hanging="11"/>
        <w:rPr>
          <w:bCs/>
          <w:sz w:val="16"/>
          <w:szCs w:val="16"/>
        </w:rPr>
      </w:pPr>
      <w:r w:rsidRPr="008E4E8A">
        <w:rPr>
          <w:bCs/>
          <w:sz w:val="16"/>
          <w:szCs w:val="16"/>
        </w:rPr>
        <w:t>Apresentação de documentação falsa;</w:t>
      </w:r>
    </w:p>
    <w:p w:rsidR="008E4E8A" w:rsidRPr="008E4E8A" w:rsidRDefault="008E4E8A" w:rsidP="005B4C63">
      <w:pPr>
        <w:pStyle w:val="Lista2"/>
        <w:numPr>
          <w:ilvl w:val="0"/>
          <w:numId w:val="12"/>
        </w:numPr>
        <w:ind w:hanging="11"/>
        <w:rPr>
          <w:bCs/>
          <w:sz w:val="16"/>
          <w:szCs w:val="16"/>
        </w:rPr>
      </w:pPr>
      <w:r w:rsidRPr="008E4E8A">
        <w:rPr>
          <w:bCs/>
          <w:sz w:val="16"/>
          <w:szCs w:val="16"/>
        </w:rPr>
        <w:t>Comportamento inidôneo;</w:t>
      </w:r>
    </w:p>
    <w:p w:rsidR="008E4E8A" w:rsidRPr="008E4E8A" w:rsidRDefault="008E4E8A" w:rsidP="005B4C63">
      <w:pPr>
        <w:pStyle w:val="Lista2"/>
        <w:numPr>
          <w:ilvl w:val="0"/>
          <w:numId w:val="12"/>
        </w:numPr>
        <w:ind w:hanging="11"/>
        <w:rPr>
          <w:bCs/>
          <w:sz w:val="16"/>
          <w:szCs w:val="16"/>
        </w:rPr>
      </w:pPr>
      <w:r w:rsidRPr="008E4E8A">
        <w:rPr>
          <w:bCs/>
          <w:sz w:val="16"/>
          <w:szCs w:val="16"/>
        </w:rPr>
        <w:t>Fraude fiscal;</w:t>
      </w:r>
    </w:p>
    <w:p w:rsidR="008E4E8A" w:rsidRPr="008E4E8A" w:rsidRDefault="008E4E8A" w:rsidP="005B4C63">
      <w:pPr>
        <w:pStyle w:val="Lista2"/>
        <w:numPr>
          <w:ilvl w:val="0"/>
          <w:numId w:val="12"/>
        </w:numPr>
        <w:ind w:hanging="11"/>
        <w:rPr>
          <w:bCs/>
          <w:sz w:val="16"/>
          <w:szCs w:val="16"/>
        </w:rPr>
      </w:pPr>
      <w:r w:rsidRPr="008E4E8A">
        <w:rPr>
          <w:bCs/>
          <w:sz w:val="16"/>
          <w:szCs w:val="16"/>
        </w:rPr>
        <w:t>Descumprimento de qualquer dos deveres elencados no Edital ou no Contrato.</w:t>
      </w:r>
    </w:p>
    <w:p w:rsidR="008E4E8A" w:rsidRPr="008E4E8A" w:rsidRDefault="008E4E8A" w:rsidP="005B4C63">
      <w:pPr>
        <w:pStyle w:val="Lista2"/>
        <w:ind w:left="0"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5B4C63">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5B4C63">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5B4C63">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5B4C63">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5B4C63">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5B4C63">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AD6140">
      <w:pPr>
        <w:pStyle w:val="Lista2"/>
        <w:ind w:left="0" w:firstLine="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AD6140">
      <w:pPr>
        <w:pStyle w:val="Lista2"/>
        <w:ind w:left="0" w:firstLine="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AD6140">
      <w:pPr>
        <w:pStyle w:val="Lista2"/>
        <w:ind w:left="0" w:firstLine="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9D2314" w:rsidRPr="00AD6140"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AD6140" w:rsidRPr="00AD6140" w:rsidRDefault="00AD6140" w:rsidP="00AD6140">
      <w:pPr>
        <w:pStyle w:val="PargrafodaLista"/>
        <w:rPr>
          <w:rFonts w:ascii="Arial" w:hAnsi="Arial" w:cs="Arial"/>
          <w:color w:val="000000"/>
          <w:sz w:val="16"/>
          <w:szCs w:val="16"/>
        </w:rPr>
      </w:pPr>
    </w:p>
    <w:p w:rsidR="0010657B"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10657B" w:rsidRPr="00AD614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AD614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AD6140" w:rsidRPr="00AD6140" w:rsidRDefault="00AD6140" w:rsidP="00AD6140">
      <w:pPr>
        <w:pStyle w:val="PargrafodaLista"/>
        <w:rPr>
          <w:rFonts w:ascii="Arial" w:hAnsi="Arial" w:cs="Arial"/>
          <w:color w:val="000000"/>
          <w:sz w:val="16"/>
          <w:szCs w:val="16"/>
        </w:rPr>
      </w:pPr>
    </w:p>
    <w:p w:rsidR="00334F76"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AD614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AD6140" w:rsidRPr="00AD6140" w:rsidRDefault="00AD6140" w:rsidP="00AD6140">
      <w:pPr>
        <w:pStyle w:val="PargrafodaLista"/>
        <w:rPr>
          <w:rFonts w:ascii="Arial" w:hAnsi="Arial" w:cs="Arial"/>
          <w:color w:val="000000"/>
          <w:sz w:val="16"/>
          <w:szCs w:val="16"/>
        </w:rPr>
      </w:pPr>
    </w:p>
    <w:p w:rsidR="00AD6140"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AD6140">
        <w:rPr>
          <w:rFonts w:ascii="Arial" w:hAnsi="Arial" w:cs="Arial"/>
          <w:color w:val="000000"/>
          <w:sz w:val="16"/>
          <w:szCs w:val="16"/>
        </w:rPr>
        <w:t>As adesões à ata de registro de preços não poder</w:t>
      </w:r>
      <w:r w:rsidR="00790B20" w:rsidRPr="00AD6140">
        <w:rPr>
          <w:rFonts w:ascii="Arial" w:hAnsi="Arial" w:cs="Arial"/>
          <w:color w:val="000000"/>
          <w:sz w:val="16"/>
          <w:szCs w:val="16"/>
        </w:rPr>
        <w:t>ão</w:t>
      </w:r>
      <w:r w:rsidR="00334F76" w:rsidRPr="00AD614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w:t>
      </w:r>
    </w:p>
    <w:p w:rsidR="00AD6140" w:rsidRPr="00AD6140" w:rsidRDefault="00AD6140" w:rsidP="00AD6140">
      <w:pPr>
        <w:pStyle w:val="PargrafodaLista"/>
        <w:rPr>
          <w:rFonts w:ascii="Arial" w:hAnsi="Arial" w:cs="Arial"/>
          <w:color w:val="000000"/>
          <w:sz w:val="16"/>
          <w:szCs w:val="16"/>
        </w:rPr>
      </w:pPr>
    </w:p>
    <w:p w:rsidR="0010657B" w:rsidRPr="00AD6140" w:rsidRDefault="00334F76" w:rsidP="00AD6140">
      <w:pPr>
        <w:pStyle w:val="PargrafodaLista"/>
        <w:numPr>
          <w:ilvl w:val="1"/>
          <w:numId w:val="8"/>
        </w:numPr>
        <w:suppressAutoHyphens/>
        <w:spacing w:line="100" w:lineRule="atLeast"/>
        <w:ind w:right="47"/>
        <w:jc w:val="both"/>
        <w:rPr>
          <w:rFonts w:ascii="Arial" w:hAnsi="Arial" w:cs="Arial"/>
          <w:color w:val="000000"/>
          <w:sz w:val="16"/>
          <w:szCs w:val="16"/>
        </w:rPr>
      </w:pPr>
      <w:r w:rsidRPr="00AD6140">
        <w:rPr>
          <w:rFonts w:ascii="Arial" w:hAnsi="Arial" w:cs="Arial"/>
          <w:color w:val="000000"/>
          <w:sz w:val="16"/>
          <w:szCs w:val="16"/>
        </w:rPr>
        <w:t xml:space="preserve"> </w:t>
      </w:r>
      <w:r w:rsidR="0010657B" w:rsidRPr="00AD6140">
        <w:rPr>
          <w:rFonts w:ascii="Arial" w:hAnsi="Arial" w:cs="Arial"/>
          <w:color w:val="000000"/>
          <w:sz w:val="16"/>
          <w:szCs w:val="16"/>
        </w:rPr>
        <w:t>Caberá ao órgão que se utilizar da ata, verificar a vantagem econômica da adesão a este Registro de Pre</w:t>
      </w:r>
      <w:r w:rsidR="00A41308" w:rsidRPr="00AD6140">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AD6140" w:rsidRPr="009A54D1" w:rsidRDefault="00AD614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AD6140" w:rsidRDefault="00AD6140" w:rsidP="00AD6140">
      <w:pPr>
        <w:pStyle w:val="PargrafodaLista"/>
        <w:rPr>
          <w:rFonts w:ascii="Arial" w:hAnsi="Arial" w:cs="Arial"/>
          <w:color w:val="000000"/>
          <w:sz w:val="16"/>
          <w:szCs w:val="16"/>
        </w:rPr>
      </w:pPr>
    </w:p>
    <w:p w:rsidR="00AD6140" w:rsidRDefault="00AD6140" w:rsidP="00AD6140">
      <w:pPr>
        <w:ind w:left="360"/>
        <w:jc w:val="both"/>
        <w:rPr>
          <w:rFonts w:ascii="Arial" w:hAnsi="Arial" w:cs="Arial"/>
          <w:color w:val="000000"/>
          <w:sz w:val="16"/>
          <w:szCs w:val="16"/>
        </w:rPr>
      </w:pPr>
    </w:p>
    <w:p w:rsidR="00AD6140" w:rsidRDefault="00AD6140" w:rsidP="00AD6140">
      <w:pPr>
        <w:pStyle w:val="PargrafodaLista"/>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AD6140" w:rsidRPr="009A54D1" w:rsidRDefault="00AD6140"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Pr="009A54D1" w:rsidRDefault="00AD6140" w:rsidP="009D2314">
      <w:pPr>
        <w:ind w:right="47"/>
        <w:jc w:val="both"/>
        <w:rPr>
          <w:rFonts w:ascii="Arial" w:hAnsi="Arial" w:cs="Arial"/>
          <w:b/>
          <w:bCs/>
          <w:color w:val="000000"/>
          <w:sz w:val="16"/>
          <w:szCs w:val="16"/>
        </w:rPr>
      </w:pPr>
    </w:p>
    <w:p w:rsidR="00E746DF" w:rsidRPr="009A54D1" w:rsidRDefault="00E746DF" w:rsidP="00AD6140">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AD6140">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AD6140">
      <w:pPr>
        <w:ind w:left="708" w:right="47" w:hanging="708"/>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AD6140">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r>
        <w:rPr>
          <w:rFonts w:ascii="Arial" w:hAnsi="Arial" w:cs="Arial"/>
          <w:b/>
          <w:bCs/>
          <w:color w:val="000000"/>
          <w:sz w:val="10"/>
          <w:szCs w:val="10"/>
        </w:rPr>
        <w:t>ST</w:t>
      </w:r>
    </w:p>
    <w:p w:rsidR="00AD6140" w:rsidRDefault="00AD6140" w:rsidP="00526790">
      <w:pPr>
        <w:ind w:right="47"/>
        <w:jc w:val="both"/>
        <w:rPr>
          <w:rFonts w:ascii="Arial" w:hAnsi="Arial" w:cs="Arial"/>
          <w:b/>
          <w:bCs/>
          <w:color w:val="000000"/>
          <w:sz w:val="10"/>
          <w:szCs w:val="10"/>
        </w:rPr>
      </w:pPr>
    </w:p>
    <w:p w:rsidR="00C50BF7" w:rsidRPr="00C50BF7" w:rsidRDefault="00C50BF7" w:rsidP="00526790">
      <w:pPr>
        <w:ind w:right="47"/>
        <w:jc w:val="both"/>
        <w:rPr>
          <w:rFonts w:ascii="Arial" w:hAnsi="Arial" w:cs="Arial"/>
          <w:b/>
          <w:bCs/>
          <w:color w:val="000000"/>
          <w:sz w:val="10"/>
          <w:szCs w:val="10"/>
        </w:rPr>
      </w:pP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140" w:rsidRDefault="00AD6140">
      <w:r>
        <w:separator/>
      </w:r>
    </w:p>
  </w:endnote>
  <w:endnote w:type="continuationSeparator" w:id="0">
    <w:p w:rsidR="00AD6140" w:rsidRDefault="00AD61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140" w:rsidRDefault="00AD6140">
      <w:r>
        <w:separator/>
      </w:r>
    </w:p>
  </w:footnote>
  <w:footnote w:type="continuationSeparator" w:id="0">
    <w:p w:rsidR="00AD6140" w:rsidRDefault="00AD61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140" w:rsidRDefault="00AD614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savePreviewPicture/>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1D17"/>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B4C63"/>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55EF5"/>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14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786B"/>
    <w:rsid w:val="00E717DD"/>
    <w:rsid w:val="00E71CF0"/>
    <w:rsid w:val="00E727D5"/>
    <w:rsid w:val="00E72C3A"/>
    <w:rsid w:val="00E732A9"/>
    <w:rsid w:val="00E746DF"/>
    <w:rsid w:val="00E93F3F"/>
    <w:rsid w:val="00E94593"/>
    <w:rsid w:val="00E96A12"/>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CD802-E95B-4590-A241-04715C2C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3557</Words>
  <Characters>20091</Characters>
  <Application>Microsoft Office Word</Application>
  <DocSecurity>0</DocSecurity>
  <Lines>167</Lines>
  <Paragraphs>47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EDITAL DE PREGÃO PRESENCIAL PARA REGISTRO DE PREÇOS Nº 0/2004</vt:lpstr>
      <vt:lpstr>    12. DAS OBRIGAÇÕES DA DETENTORA DO REGISTRO</vt:lpstr>
    </vt:vector>
  </TitlesOfParts>
  <Company>SUPEL</Company>
  <LinksUpToDate>false</LinksUpToDate>
  <CharactersWithSpaces>23601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2016-01-28T14:42:00Z</cp:lastPrinted>
  <dcterms:created xsi:type="dcterms:W3CDTF">2016-01-28T13:32:00Z</dcterms:created>
  <dcterms:modified xsi:type="dcterms:W3CDTF">2016-01-28T14:42:00Z</dcterms:modified>
</cp:coreProperties>
</file>